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ivel4"/>
        <w:numPr>
          <w:ilvl w:val="3"/>
          <w:numId w:val="1"/>
        </w:numPr>
        <w:spacing w:before="120" w:after="120"/>
        <w:ind w:hanging="0" w:left="567"/>
        <w:jc w:val="center"/>
        <w:rPr>
          <w:b/>
          <w:bCs/>
        </w:rPr>
      </w:pPr>
      <w:r>
        <w:rPr>
          <w:b/>
          <w:bCs/>
        </w:rPr>
      </w:r>
    </w:p>
    <w:p>
      <w:pPr>
        <w:pStyle w:val="Nivel4"/>
        <w:numPr>
          <w:ilvl w:val="3"/>
          <w:numId w:val="1"/>
        </w:numPr>
        <w:ind w:hanging="0" w:left="567"/>
        <w:jc w:val="center"/>
        <w:rPr>
          <w:b/>
          <w:bCs/>
        </w:rPr>
      </w:pPr>
      <w:r>
        <w:rPr>
          <w:b/>
          <w:bCs/>
        </w:rPr>
        <w:t>APÊNDICE II DO ANEXO I – TABELA DE ITENS</w:t>
      </w:r>
    </w:p>
    <w:p>
      <w:pPr>
        <w:pStyle w:val="Nivel4"/>
        <w:numPr>
          <w:ilvl w:val="3"/>
          <w:numId w:val="1"/>
        </w:numPr>
        <w:ind w:hanging="0" w:left="567"/>
        <w:jc w:val="center"/>
        <w:rPr>
          <w:b/>
          <w:bCs/>
        </w:rPr>
      </w:pPr>
      <w:r>
        <w:rPr>
          <w:b/>
          <w:bCs/>
        </w:rPr>
      </w:r>
    </w:p>
    <w:tbl>
      <w:tblPr>
        <w:tblW w:w="9422" w:type="dxa"/>
        <w:jc w:val="center"/>
        <w:tblInd w:w="0" w:type="dxa"/>
        <w:tblLayout w:type="fixed"/>
        <w:tblCellMar>
          <w:top w:w="55" w:type="dxa"/>
          <w:left w:w="54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12"/>
        <w:gridCol w:w="444"/>
        <w:gridCol w:w="2328"/>
        <w:gridCol w:w="852"/>
        <w:gridCol w:w="504"/>
        <w:gridCol w:w="576"/>
        <w:gridCol w:w="900"/>
        <w:gridCol w:w="1344"/>
        <w:gridCol w:w="756"/>
        <w:gridCol w:w="806"/>
      </w:tblGrid>
      <w:tr>
        <w:trPr>
          <w:trHeight w:val="1135" w:hRule="atLeast"/>
          <w:cantSplit w:val="true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Grupo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Código CATMAT</w:t>
            </w:r>
          </w:p>
        </w:tc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Und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Qtd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Preço unitário medina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Valor total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Periodicidade da entrega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Prazo mínimo de  garantia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Microcomputador:</w:t>
            </w:r>
          </w:p>
          <w:p>
            <w:pPr>
              <w:pStyle w:val="BodyText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Memória RAM: 16 GB DDR4 2666 MHz ou Superior</w:t>
            </w:r>
          </w:p>
          <w:p>
            <w:pPr>
              <w:pStyle w:val="BodyText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Arquitetura do Processador: 64 bits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Núcleos Por Processador: 8 ou mais (16 threads ou mais)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Cache: 12 MB ou mais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Armazenamento HDD: Sem Disco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Armazenamento SSD: 240 GB ou superior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Sem Monitor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Sem Teclado E Mouse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Sistema Operacional: Windows 10 Pro ou Superior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4 conexões USB (ao menos 2 tipo 3.0)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Conexão de Rede: RJ45 e Wi-Fi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Interface de vídeo: ao menos duas distintas (HDMI, Displayport, DVI, VGA, por exemplo)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Conexão de áudio para fone de ouvido e microfone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Fonte de alimentação: Bivolt (127-240V) Automática, com cabo de alimentação Padrão Brasileiro ABNT NBR-14136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Site: 36 MESES (Fornecida pelo fabricante ou revendedor)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618581</w:t>
            </w:r>
          </w:p>
        </w:tc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9.030,79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1.444.926,40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36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Microcomputador</w:t>
            </w:r>
          </w:p>
          <w:p>
            <w:pPr>
              <w:pStyle w:val="BodyText"/>
              <w:widowControl w:val="false"/>
              <w:spacing w:before="0" w:after="12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Memória RAM: 16 GB DDR4 2666 MHz ou Superior</w:t>
            </w:r>
          </w:p>
          <w:p>
            <w:pPr>
              <w:pStyle w:val="BodyText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Arquitetura do Processador: 64 bits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Núcleos Por Processador: 8 ou mais (16 threads ou mais)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Cache: 12 MB ou mais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Armazenamento HDD: Sem Disco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Armazenamento SSD: 240 GB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Sem Monitor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Componentes Adicionais: Com Teclado E Mouse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Sistema Operacional: Proprietário Windows 10 Pro ou Superior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4 conexões USB (ao menos 2 tipo 3.0)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Conexão de Rede: RJ45 e Wi-Fi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Interface de vídeo: ao menos duas distintas (HDMI, Displayport, DVI, VGA, por exemplo)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Conexão de áudio para fone de ouvido e microfone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Fonte de alimentação: Bivolt (127-240V) Automática, com cabo de alimentação Padrão Brasileiro ABNT NBR-14136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Site: 36 MESES (Fornecida pelo fabricante ou revendedor)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460036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3.657,50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146.300,00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36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588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1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R$ 1.591.226,40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No-break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 Entrada: 115/127/220 KV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Mínimo de Conexões de Saída: 4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Proteção Contra Sub E Sobre Tensão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No-break Senoidal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Fator Potência: 0,7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 Nominal: 700 VA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Onda: Senoidal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614397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478,49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105.267,80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No-break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 Entrada: 115/127/220 V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Mínimo De Conexões De Saída: 5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Tomadas: NBR 14136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No-break Senoidal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Saída: 115 V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Fator Potência: 0,5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 Nominal: 1500 VA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Onda: Senoidal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  <w:sz w:val="22"/>
                <w:szCs w:val="22"/>
              </w:rPr>
              <w:t>614404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1.145,00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11.450,00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No-break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 Entrada: 110/220 V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Frequência: 50/60 HZ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No-break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Mínimo De Conexões De Saída: 8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Saída: 110 V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 Nominal: 3.200 VA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Autonomia Bateria: 20 Min ou mais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445824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6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2.411,75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14.470,50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Módulo de Bateria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Bateria: 2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 Bateria: 40 AH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Gabinete Conector De Engate Rápido Com Cabo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382320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2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2.393,58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4.787,16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Bateria de Computador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Lithium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Alimentação: 3v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Para Setup (Bios)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Modelo: Cr-2032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238772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1,82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182,00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740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2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R$ 136.157,46</w:t>
            </w:r>
          </w:p>
        </w:tc>
      </w:tr>
      <w:tr>
        <w:trPr>
          <w:trHeight w:val="2550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Bateria Recarregável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Estacionária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No-break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Nominal: 12 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 Nominal: 9 A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611061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94,70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947,00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55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Filtro Linha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</w:t>
            </w: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 xml:space="preserve"> 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Alimentação: 110/220 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Corrente Máxima: 10 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Saída: 6 Tomadas Com 3 Pinos Tipo Fêmea Com Aterramento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LED Indicativo De Funcionamento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u w:val="none"/>
              </w:rPr>
              <w:t>449693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22,90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687,00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734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03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R$ 1.634,00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Switch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Portas: 10 UN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Portas: Porta Ethernet 1000,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Alimentação: Bivolt (100 A 240 V)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2 Portas Fibra Ótica, 8 Portas Cabo De Cobre (par trançado – entrada RJ45)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Transmissão De Dados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Switch Gerenciável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455488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1.651,50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16.515,00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Switch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Portas: 24 UN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Portas: 10/100/1000 Base T, Rj45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Velocidade Porta: 1000 Mbps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Alimentação: Bivolt (100 A 240 V)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Conectar Servidores E Equipamentos Em Rede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Switch Gerenciável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609689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1.980,65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19.806,50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Switch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Portas: 48 UN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Portas: 10/100/1000 Base T, Rj45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Velocidade Porta: 1000 Mbps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Alimentação: Bivolt (100 A 240 V)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Conectar Servidores E Equipamentos Em Rede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Switch Gerenciável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609690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5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4.300,00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21.500,00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684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04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R$ 57.821,50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Cabo Rede Computador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 Revestimento: PVC – Cloreto De Polivinila Antichama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 Condutor: Cobre Nú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Condutor: Par Trançado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Categoria: 5e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Conexão De Rede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467548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CX 305 m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452,50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9.050,00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Cabo Rede Computador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 Revestimento: Polietileno Especial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 Condutor: Cobre Nú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Condutor: Par Trançado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 Isolamento Condutor: PVC Não Propagante À Chama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Categoria: 6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Conexão De Rede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467549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CX</w:t>
            </w:r>
          </w:p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305 m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750,00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2.250,00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Tomada RJ45 Fêmea (com caixa e conector)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Modelo: Rj45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Fêmea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Normas Técnicas: T568a/B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Instalação Rede De Informática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Categoria: 5e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Fixação: Parede (não embutida)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Entradas: 1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337243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22,00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3.300,00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Conversor Cabo Fibra Ótica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Taxa Transmissão: 10/100/1000 Mbps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Tipo Conector: RJ-45 E Sc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Transmissão: Half/Full Duplex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Alcance: 10 Km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Tipo Fibra: Monomodo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486614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154,00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4.620,00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634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05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R$ 19.220,00</w:t>
            </w:r>
          </w:p>
        </w:tc>
      </w:tr>
      <w:tr>
        <w:trPr>
          <w:trHeight w:val="2385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Memória RAM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Aplicação: Desktop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Capacidade: 8 GB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Padrão: DD3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Frequência: 1333 MHz (ou superior)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473420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53,00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1.590,00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385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Memória RAM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Aplicação: Desktop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Capacidade: 8 GB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Padrão: DD4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Frequência: 2400 MHz ou superior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604331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95,90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959,00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640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06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R$ 2.549,00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Ponto De Acesso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Wi-Fi 6 Corporativo 4x4 Mimo (Multiple-Input Multiple-Output)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Padrão: Wifi802.11a/B/G; Wi-Fi 4/Wi-Fi 5/Wi-Fi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Alimentação Poe+Poe Passivo(48v); Com Injetor Poe 48v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Frequência Nominal: 2.4 e 5.0 MHz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Uso: Indoor (interno para fixação em parede ou teto)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Marca: Ubiquiti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Modelo de Referência: UAP-AC-PRO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609339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2.100,00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12.600,00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Ponto De Acesso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Wi-Fi 6 Corporativo 4x4 Mimo (Multiple-Input Multiple-Output)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Padrão: Wifi802.11a/B/G; Wi-Fi 4/Wi-Fi 5/Wi-Fi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Antena Interna, Alimentação Poe+Poe Passivo(48v); Com Injetor Poe 48v, dispõe de recurso Mesh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Frequência Nominal: 2.4 e 5.0 MHz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Velocidade Wireless: 1.200 Mbps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Uso: Outdoor (externo para fixação em poste)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Marca: Ubiquiti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Modelo de Referência: UAP-AC-M-PRO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603936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8.200,00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16.400,00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Fonte Poe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Padrão: 802.3af (Wi-Fi)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Frequência: 60 HZ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Alimentação: Bivolt (110/220 V)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Alimentação De Pontos De Acesso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Conexão: 2 X RJ-45 Fêmeas Operando Em Gigabit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Saída: 48 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Injetor Poe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426731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203,00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2.030,00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Repetidor de Sinal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Padrão: Wi-Fi 802.11a/b/g/n/ac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Frequência de operação: 2,4 e 5 GHz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Alimentação: 110/220 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Cobertura: 80 m</w:t>
            </w: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²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Características: dispõe de recurso Mesh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Garantia: 12 meses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404260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217,80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2.178,00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Switch Core</w:t>
            </w:r>
            <w:r>
              <w:rPr>
                <w:color w:val="000000"/>
              </w:rPr>
              <w:t xml:space="preserve"> (10gbit ethernet (10G Base T))</w:t>
              <w:br/>
              <w:t>Portas: Mínimo de 16 portas 10G Base T</w:t>
              <w:br/>
              <w:t>Implementação avançada de hardware baseada em classificador e tempo para segurança e priorização de L2 (MAC), L3 (IP) e L4 (portas de transporte UDP/TCP)</w:t>
              <w:br/>
              <w:t>Canal de porta selecionável/hashing LAG (802.3ad – 802.1AX) L2/L3/L4 para tolerância a falhas e compartilhamento de carga Ethernet</w:t>
              <w:br/>
              <w:t>VLAN de voz com detecção de protocolos SIP, H323 e SCCP e configuração automática de QoS e VLAN de telefones IP LLDP-MED</w:t>
              <w:br/>
              <w:t>Autenticação avançada com métodos DOT1X</w:t>
              <w:br/>
              <w:t>Roteamento estático e dinâmico IPv4/IPv6, incluindo Proxy ARP, OSPF, roteamento baseado em política</w:t>
              <w:br/>
              <w:t>Implantações de multicast L2 automático IGMP+</w:t>
              <w:br/>
              <w:t>Implementação avançada de segurança IPv4/IPv6, incluindo detecção de código malicioso, DHCP Snooping, proteção de IP Source Guard e mitigação de ataque DoS</w:t>
              <w:br/>
              <w:t xml:space="preserve">Garantia onsite: 60 meses 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(Fornecida pelo fabricante ou revendedor)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618767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9.890,36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9.890,36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/>
              <w:t>60 meses (Garantia On Site)</w:t>
            </w:r>
          </w:p>
        </w:tc>
      </w:tr>
      <w:tr>
        <w:trPr>
          <w:trHeight w:val="573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07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R$ 43.098,36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Estante Rack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Padrão: 19" X 6u X 430 mm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Estrutura: Aço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Portas: Laterais E Traseiras Removíveis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Porta Frontal: Vidro Temperado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399251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370,00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3.700,00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487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Mouse Pad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Material: Poliuretano Injetado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Acabamento Superficial: Tecido Sintético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Ergonômico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</w:rPr>
              <w:t>373157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  <w:sz w:val="22"/>
                <w:szCs w:val="22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17,20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3.440,00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276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Apoio Punho Teclado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Material: Tecido E Gel Especial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Ergonômico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Digitação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262442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33,89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6.778,00</w:t>
            </w:r>
          </w:p>
          <w:p>
            <w:pPr>
              <w:pStyle w:val="Contedodatabela"/>
              <w:widowControl w:val="false"/>
              <w:spacing w:before="0" w:after="200"/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Adaptador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Conexão: HDMI Macho X VGA Fêmea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Resolução Mínima: 1080p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Uso Em Vídeo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445782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16,00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480,00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624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08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R$ 14.398,00</w:t>
            </w:r>
          </w:p>
        </w:tc>
      </w:tr>
      <w:tr>
        <w:trPr>
          <w:trHeight w:val="5610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Servidor de Storage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CPU: Processador ARM 64 ou x86-64, com clock de no mínimo 1.7GHz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Memória do sistema: mínimo de 4GB DDR3 ou superior</w:t>
              <w:br/>
              <w:t>Baia de unidade: 4 x 3,5 polegadas SATA 6 Gb/s, HDD SATA de 3,5 polegadas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Hot-swappable:</w:t>
              <w:tab/>
              <w:t>Sim</w:t>
              <w:br/>
              <w:t>Suporte para aceleração de cache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SSD: Sim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Porta Gigabit Ethernet (RJ45): 2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Jumbo Frame:</w:t>
              <w:tab/>
              <w:t>Sim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Portas USB 3: Pelo menos 1 porta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LEDs Indicadores: Energia, Status, LAN, USB, HDD1-4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Fonte de Alimentação: bivolt 100-240 V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Deve possuir cooler de refrigeração para os sistemas de discos / CPU;</w:t>
              <w:br/>
              <w:t>Aviso do sistema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Buzzer Networking TCP/IP: (IPv4 &amp; IPv6: Dual Stack)</w:t>
              <w:br/>
              <w:t>NICs com jumbo frame (failover, configuração multi-IP, port trunking/NIC teaming)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Protocolos: CIFS/SMB, AFP, NFS, FTP, FTPS, SFTP, TFTP, HTTP(S), Telnet, SSH, iSCSI, SNMP, SMTP, SMSC, UPnP &amp; Bonjour Discovery</w:t>
              <w:br/>
              <w:t>Implementa VPN Server: Acesso remoto seguro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Serviços VPN PPTP, L2TP/IPsec e Open VPN</w:t>
              <w:br/>
              <w:t>Integração com Serviços de Diretório: Microsoft Active Directory (AD), Domain controller ou cliente LDAP, Login de sessão de domínio via CIFS/SMB, AFP, FTP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Software: Desenvolvido pelo próprio fabricante do Hardware do equipamento, com Administração via Web, Barra de ferramentas e painel de controle inteligente para exibição de status do sistema, instalação de módulos adicionais e configuração completa da solução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atualizações diretamente da interface de administração web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controle inteligente do cooler/ventilador</w:t>
              <w:br/>
              <w:t>Deve permitir monitoração dos principais aspectos da solução diretamente na interface web (Temperatura, espaço em disco, uso do processador e da memória)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implementar Lixeira de rede para eliminação de arquivos via CIFS / SMB, AFP e File Station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implementar Logs abrangentes (eventos e conexão)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restaurar configurações para o padrão de fábrica diretamente da interface web de administração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configuração do protocolo iSCSI (IP SAN) Target diretamente da interface Web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expansão on-line de capacidade LUN iscsi diretamente da interface web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implementar Backup de LUN iSCSI, One-time Snapshot e Restore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implementar Volume de Disco Virtual (via iSCSI initiator)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possuir função de Print Server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implementar controle de privilégio baseado em nome de domínio e IP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gerenciamento de armazenamento, como thin provisioning, recuperação de espaço automática, Single Disk, JBOD, RAID 0, 1, 5 e single JBOD</w:t>
              <w:br/>
              <w:t>Expansão de capacidade RAID online e Migração do Nível RAID On-line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a implementação de cache SSD de somente leitura / leitura / gravação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Permitir Gerenciamento de energia e Wake on LAN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Permitir que o disco rígido interno entre em modo standby</w:t>
              <w:br/>
              <w:t>Implementar agendamento de power on/off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Implementar suporte USB e rede UPS com gestão SNMP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Gestão unificada de privilégios, Gestão de configuração unificada, Suporta modo de configuração central</w:t>
              <w:br/>
              <w:t>Registro de nome de host gratuito (DDNS)</w:t>
              <w:br/>
              <w:t>Gerenciamento de arquivos via web com criptografia HTTPS de 2048 bits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469726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9.087,00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18.174,00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36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Unidade de Disco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Tipo: Rígido (HDD)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Interface: SATA 6 Gb/s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Capacidade: 8TB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Tamanho: 3,5 Polegadas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Velocidade: 7.200 RPM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Cache: 256 MB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Aplicação: Servidor de Storage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610790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1.419,92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11.359,36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Unidade de Disco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Tipo: Rígido (HDD)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Interface: SATA 6 Gb/s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Capacidade: 4TB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Tamanho: 3,5 Polegadas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Velocidade: 5.400 RPM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Cache: 256 MB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Aplicação: Servidor de Storage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610791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690,00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5.520,00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Unidade de Disco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Tipo: Rígido (HDD)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Interface: SATA 6 Gb/s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Capacidade: 4TB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Tamanho: 3,5 Polegadas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Velocidade: 7.200 RPM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Cache: 256 MB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Aplicação: Servidor de Toragem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465015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875,35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7.002,80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647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09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R$ 42.056,16</w:t>
            </w:r>
          </w:p>
        </w:tc>
      </w:tr>
      <w:tr>
        <w:trPr>
          <w:trHeight w:val="2730" w:hRule="atLeast"/>
        </w:trPr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ISOLADO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Monitor de Computador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Tamanho Tela: 20 Polegadas ou maior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de Tela: LED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Formato de Tela: Widescreen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Qualidade de Imagem: Full HD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</w:t>
            </w: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2"/>
                <w:lang w:val="pt-BR" w:eastAsia="zh-CN" w:bidi="ar-SA"/>
              </w:rPr>
              <w:t>juste: Ajuste De Rotação, Altura E Inclinação Do Display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2"/>
                <w:lang w:val="pt-BR" w:eastAsia="zh-CN" w:bidi="ar-SA"/>
              </w:rPr>
              <w:t>Entrada de vídeo: ao menos duas (HDMI, VGA, DVI, DisplayPort, por exemplo)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2"/>
                <w:lang w:val="pt-BR" w:eastAsia="zh-CN" w:bidi="ar-SA"/>
              </w:rPr>
              <w:t xml:space="preserve">Alimentação: </w:t>
            </w: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2"/>
                <w:lang w:val="pt-BR" w:eastAsia="zh-CN" w:bidi="ar-SA"/>
              </w:rPr>
              <w:t>Bivolt (127-240V) Automática, com cabo de alimentação Padrão Brasileiro ABNT NBR-14136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2"/>
                <w:lang w:val="pt-BR" w:eastAsia="zh-CN" w:bidi="ar-SA"/>
              </w:rPr>
              <w:t>Garantia On Site: 36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 xml:space="preserve"> MESES 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(Fornecida pelo fabricante ou revendedor)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451812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732,43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29.297,20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36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2730" w:hRule="atLeast"/>
        </w:trPr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ISOLADO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Unidade de Disco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Disco SSD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Capacidade: 240 GB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Tamanho: 2,5 POL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Interface: SATA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Velocidade: 2.400 MB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603462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105,90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5.295,00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ISOLADO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Servidor VM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Formato: Gabinete rack 1U ou 2U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Quantidade de Processadores: 2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Núcleos por processador: 8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Características do processador: Mínimo de 2.8 GHz, 8 núcleos/16 threads, 10.4GT/s, 12M Cache, modo Turbo, TDP 105W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Suporte memória DDR4-2666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Memória: mínimo de 64 GB RAM DDR4 (RDIMM, Dual Rank, BCC)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Armazenamento: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Controladora de RAID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Chassis com capacidade de até 8 discos SSD/SAS/SATA de 2.5 polegadas ou 3.5 polegadas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3 x 512 SSD SATA Enterprise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3 x 4TB HDD SATA 7200rpm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Interfaces de Rede: 2 interfaces de rede Gigabit Ethernet integradas, 1 interface 10gbit Ethernet (10G Base T)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Fonte de Alimentação: Dual, Hot-Plug, 120-240V ac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Com recurso de monitoramento remoto de estado físico da máquina (BMC - Baseboard Management Controller)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Com placa adicional de gerenciamento remoto, acessível através endereço IP independente, usando protocolo https ou ssh, com capacidade de ligar, desligar, reiniciar o servidor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Modulo Trusted Platform: 2.0 V3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UEFI BIOS Boot Mode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Trilhos de rack: Trilhos deslizantes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Garantia onsite: 60 meses 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(Fornecida pelo fabricante ou revendedor)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472497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90.183,00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270.549,00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60 meses (Garantia On Site)</w:t>
            </w:r>
          </w:p>
        </w:tc>
      </w:tr>
      <w:tr>
        <w:trPr>
          <w:trHeight w:val="735" w:hRule="atLeast"/>
        </w:trPr>
        <w:tc>
          <w:tcPr>
            <w:tcW w:w="786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Valor total da demanda</w:t>
            </w:r>
          </w:p>
        </w:tc>
        <w:tc>
          <w:tcPr>
            <w:tcW w:w="156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R$ 2.213.302,08</w:t>
            </w:r>
          </w:p>
        </w:tc>
      </w:tr>
    </w:tbl>
    <w:p>
      <w:pPr>
        <w:pStyle w:val="NoSpacing"/>
        <w:spacing w:before="0" w:after="340"/>
        <w:jc w:val="both"/>
        <w:rPr>
          <w:rFonts w:ascii="Calibri" w:hAnsi="Calibri" w:cs="Arial"/>
          <w:color w:val="000000"/>
        </w:rPr>
      </w:pPr>
      <w:r>
        <w:rPr>
          <w:rFonts w:cs="Arial"/>
          <w:color w:val="000000"/>
        </w:rPr>
      </w:r>
    </w:p>
    <w:p>
      <w:pPr>
        <w:pStyle w:val="NoSpacing"/>
        <w:spacing w:before="0" w:after="340"/>
        <w:jc w:val="both"/>
        <w:rPr>
          <w:color w:val="000000"/>
        </w:rPr>
      </w:pPr>
      <w:r>
        <w:rPr>
          <w:rFonts w:cs="Arial"/>
          <w:color w:val="000000"/>
        </w:rPr>
        <w:tab/>
        <w:tab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567" w:right="567" w:gutter="0" w:header="567" w:top="3295" w:footer="567" w:bottom="207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40" w:before="0" w:after="0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23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24</w:t>
    </w:r>
    <w:r>
      <w:rPr>
        <w:sz w:val="20"/>
        <w:szCs w:val="20"/>
      </w:rPr>
      <w:fldChar w:fldCharType="end"/>
    </w:r>
  </w:p>
  <w:p>
    <w:pPr>
      <w:pStyle w:val="Footer"/>
      <w:spacing w:lineRule="auto" w:line="240" w:before="0" w:after="0"/>
      <w:jc w:val="center"/>
      <w:rPr>
        <w:sz w:val="20"/>
        <w:szCs w:val="20"/>
      </w:rPr>
    </w:pPr>
    <w:r>
      <w:rPr>
        <w:sz w:val="20"/>
        <w:szCs w:val="2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40" w:before="0" w:after="0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23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24</w:t>
    </w:r>
    <w:r>
      <w:rPr>
        <w:sz w:val="20"/>
        <w:szCs w:val="20"/>
      </w:rPr>
      <w:fldChar w:fldCharType="end"/>
    </w:r>
  </w:p>
  <w:p>
    <w:pPr>
      <w:pStyle w:val="Footer"/>
      <w:spacing w:lineRule="auto" w:line="240" w:before="0" w:after="0"/>
      <w:jc w:val="center"/>
      <w:rPr>
        <w:sz w:val="20"/>
        <w:szCs w:val="20"/>
      </w:rPr>
    </w:pPr>
    <w:r>
      <w:rPr>
        <w:sz w:val="20"/>
        <w:szCs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drawing>
        <wp:anchor behindDoc="1" distT="0" distB="0" distL="114935" distR="114935" simplePos="0" locked="0" layoutInCell="0" allowOverlap="1" relativeHeight="25">
          <wp:simplePos x="0" y="0"/>
          <wp:positionH relativeFrom="column">
            <wp:align>center</wp:align>
          </wp:positionH>
          <wp:positionV relativeFrom="paragraph">
            <wp:posOffset>41910</wp:posOffset>
          </wp:positionV>
          <wp:extent cx="1045845" cy="88011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5845" cy="880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Web"/>
      <w:spacing w:before="280" w:after="0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</w:r>
  </w:p>
  <w:p>
    <w:pPr>
      <w:pStyle w:val="NormalWeb"/>
      <w:spacing w:before="280" w:after="0"/>
      <w:jc w:val="right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</w:r>
  </w:p>
  <w:p>
    <w:pPr>
      <w:pStyle w:val="NoSpacing"/>
      <w:spacing w:lineRule="atLeast" w:line="200"/>
      <w:jc w:val="center"/>
      <w:rPr>
        <w:rFonts w:cs="Arial"/>
        <w:b/>
        <w:bCs/>
        <w:sz w:val="24"/>
        <w:szCs w:val="24"/>
      </w:rPr>
    </w:pPr>
    <w:r>
      <w:rPr>
        <w:rFonts w:cs="Arial"/>
        <w:b/>
        <w:bCs/>
        <w:sz w:val="24"/>
        <w:szCs w:val="24"/>
      </w:rPr>
      <w:t>MINISTÉRIO DA EDUCAÇÃO</w:t>
    </w:r>
  </w:p>
  <w:p>
    <w:pPr>
      <w:pStyle w:val="NoSpacing"/>
      <w:spacing w:lineRule="atLeast" w:line="200"/>
      <w:jc w:val="center"/>
      <w:rPr>
        <w:rFonts w:cs="Arial"/>
        <w:b/>
        <w:bCs/>
        <w:sz w:val="24"/>
        <w:szCs w:val="24"/>
      </w:rPr>
    </w:pPr>
    <w:r>
      <w:rPr>
        <w:rFonts w:cs="Arial"/>
        <w:b/>
        <w:bCs/>
        <w:sz w:val="24"/>
        <w:szCs w:val="24"/>
      </w:rPr>
      <w:t>SECRETARIA DE EDUCAÇÃO PROFISSIONAL E TECNOLÓGICA</w:t>
    </w:r>
  </w:p>
  <w:p>
    <w:pPr>
      <w:pStyle w:val="NoSpacing"/>
      <w:spacing w:lineRule="atLeast" w:line="200"/>
      <w:jc w:val="center"/>
      <w:rPr>
        <w:rFonts w:cs="Arial"/>
        <w:b/>
        <w:bCs/>
        <w:sz w:val="24"/>
        <w:szCs w:val="24"/>
        <w:shd w:fill="FFFF00" w:val="clear"/>
      </w:rPr>
    </w:pPr>
    <w:r>
      <w:rPr>
        <w:rFonts w:cs="Arial"/>
        <w:b/>
        <w:bCs/>
        <w:sz w:val="24"/>
        <w:szCs w:val="24"/>
      </w:rPr>
      <w:t>INSTITUTO FEDERAL DE EDUCAÇÃO, CIÊNCIA E TECNOLOGIA BAIANO</w:t>
    </w:r>
  </w:p>
  <w:p>
    <w:pPr>
      <w:pStyle w:val="NoSpacing"/>
      <w:spacing w:lineRule="atLeast" w:line="200"/>
      <w:jc w:val="center"/>
      <w:rPr>
        <w:highlight w:val="none"/>
        <w:shd w:fill="auto" w:val="clear"/>
      </w:rPr>
    </w:pPr>
    <w:r>
      <w:rPr>
        <w:rFonts w:cs="Arial"/>
        <w:b/>
        <w:bCs/>
        <w:sz w:val="24"/>
        <w:szCs w:val="24"/>
        <w:shd w:fill="auto" w:val="clear"/>
      </w:rPr>
      <w:t>NÚCLEO DE GESTÃO DE TECNOLOGIA DA INFORMAÇÃO</w:t>
    </w:r>
  </w:p>
  <w:p>
    <w:pPr>
      <w:pStyle w:val="NoSpacing"/>
      <w:jc w:val="center"/>
      <w:rPr>
        <w:rFonts w:ascii="Times New Roman" w:hAnsi="Times New Roman" w:cs="Times New Roman"/>
        <w:sz w:val="20"/>
        <w:szCs w:val="20"/>
      </w:rPr>
    </w:pPr>
    <w:r>
      <w:rPr>
        <w:rFonts w:cs="Times New Roman" w:ascii="Times New Roman" w:hAnsi="Times New Roman"/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drawing>
        <wp:anchor behindDoc="1" distT="0" distB="0" distL="114935" distR="114935" simplePos="0" locked="0" layoutInCell="0" allowOverlap="1" relativeHeight="25">
          <wp:simplePos x="0" y="0"/>
          <wp:positionH relativeFrom="column">
            <wp:align>center</wp:align>
          </wp:positionH>
          <wp:positionV relativeFrom="paragraph">
            <wp:posOffset>41910</wp:posOffset>
          </wp:positionV>
          <wp:extent cx="1045845" cy="88011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5845" cy="880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Web"/>
      <w:spacing w:before="280" w:after="0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</w:r>
  </w:p>
  <w:p>
    <w:pPr>
      <w:pStyle w:val="NormalWeb"/>
      <w:spacing w:before="280" w:after="0"/>
      <w:jc w:val="right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</w:r>
  </w:p>
  <w:p>
    <w:pPr>
      <w:pStyle w:val="NoSpacing"/>
      <w:spacing w:lineRule="atLeast" w:line="200"/>
      <w:jc w:val="center"/>
      <w:rPr>
        <w:rFonts w:cs="Arial"/>
        <w:b/>
        <w:bCs/>
        <w:sz w:val="24"/>
        <w:szCs w:val="24"/>
      </w:rPr>
    </w:pPr>
    <w:r>
      <w:rPr>
        <w:rFonts w:cs="Arial"/>
        <w:b/>
        <w:bCs/>
        <w:sz w:val="24"/>
        <w:szCs w:val="24"/>
      </w:rPr>
      <w:t>MINISTÉRIO DA EDUCAÇÃO</w:t>
    </w:r>
  </w:p>
  <w:p>
    <w:pPr>
      <w:pStyle w:val="NoSpacing"/>
      <w:spacing w:lineRule="atLeast" w:line="200"/>
      <w:jc w:val="center"/>
      <w:rPr>
        <w:rFonts w:cs="Arial"/>
        <w:b/>
        <w:bCs/>
        <w:sz w:val="24"/>
        <w:szCs w:val="24"/>
      </w:rPr>
    </w:pPr>
    <w:r>
      <w:rPr>
        <w:rFonts w:cs="Arial"/>
        <w:b/>
        <w:bCs/>
        <w:sz w:val="24"/>
        <w:szCs w:val="24"/>
      </w:rPr>
      <w:t>SECRETARIA DE EDUCAÇÃO PROFISSIONAL E TECNOLÓGICA</w:t>
    </w:r>
  </w:p>
  <w:p>
    <w:pPr>
      <w:pStyle w:val="NoSpacing"/>
      <w:spacing w:lineRule="atLeast" w:line="200"/>
      <w:jc w:val="center"/>
      <w:rPr>
        <w:rFonts w:cs="Arial"/>
        <w:b/>
        <w:bCs/>
        <w:sz w:val="24"/>
        <w:szCs w:val="24"/>
        <w:shd w:fill="FFFF00" w:val="clear"/>
      </w:rPr>
    </w:pPr>
    <w:r>
      <w:rPr>
        <w:rFonts w:cs="Arial"/>
        <w:b/>
        <w:bCs/>
        <w:sz w:val="24"/>
        <w:szCs w:val="24"/>
      </w:rPr>
      <w:t>INSTITUTO FEDERAL DE EDUCAÇÃO, CIÊNCIA E TECNOLOGIA BAIANO</w:t>
    </w:r>
  </w:p>
  <w:p>
    <w:pPr>
      <w:pStyle w:val="NoSpacing"/>
      <w:spacing w:lineRule="atLeast" w:line="200"/>
      <w:jc w:val="center"/>
      <w:rPr>
        <w:highlight w:val="none"/>
        <w:shd w:fill="auto" w:val="clear"/>
      </w:rPr>
    </w:pPr>
    <w:r>
      <w:rPr>
        <w:rFonts w:cs="Arial"/>
        <w:b/>
        <w:bCs/>
        <w:sz w:val="24"/>
        <w:szCs w:val="24"/>
        <w:shd w:fill="auto" w:val="clear"/>
      </w:rPr>
      <w:t>NÚCLEO DE GESTÃO DE TECNOLOGIA DA INFORMAÇÃO</w:t>
    </w:r>
  </w:p>
  <w:p>
    <w:pPr>
      <w:pStyle w:val="NoSpacing"/>
      <w:jc w:val="center"/>
      <w:rPr>
        <w:rFonts w:ascii="Times New Roman" w:hAnsi="Times New Roman" w:cs="Times New Roman"/>
        <w:sz w:val="20"/>
        <w:szCs w:val="20"/>
      </w:rPr>
    </w:pPr>
    <w:r>
      <w:rPr>
        <w:rFonts w:cs="Times New Roman" w:ascii="Times New Roman" w:hAnsi="Times New Roman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2"/>
      <w:sz w:val="22"/>
      <w:szCs w:val="22"/>
      <w:lang w:val="pt-BR" w:eastAsia="zh-CN" w:bidi="ar-SA"/>
    </w:rPr>
  </w:style>
  <w:style w:type="paragraph" w:styleId="Heading1">
    <w:name w:val="Heading 1"/>
    <w:basedOn w:val="Normal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numPr>
        <w:ilvl w:val="2"/>
        <w:numId w:val="1"/>
      </w:numPr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Symbol" w:hAnsi="Symbol" w:cs="OpenSymbol"/>
    </w:rPr>
  </w:style>
  <w:style w:type="character" w:styleId="WW8Num4z1" w:customStyle="1">
    <w:name w:val="WW8Num4z1"/>
    <w:qFormat/>
    <w:rPr>
      <w:rFonts w:ascii="OpenSymbol" w:hAnsi="OpenSymbol" w:cs="OpenSymbol"/>
    </w:rPr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Symbol" w:hAnsi="Symbol" w:cs="OpenSymbol"/>
    </w:rPr>
  </w:style>
  <w:style w:type="character" w:styleId="WW8Num6z1" w:customStyle="1">
    <w:name w:val="WW8Num6z1"/>
    <w:qFormat/>
    <w:rPr>
      <w:rFonts w:ascii="OpenSymbol" w:hAnsi="OpenSymbol" w:cs="OpenSymbol"/>
    </w:rPr>
  </w:style>
  <w:style w:type="character" w:styleId="WW8Num7z0" w:customStyle="1">
    <w:name w:val="WW8Num7z0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rFonts w:ascii="Symbol" w:hAnsi="Symbol" w:cs="OpenSymbol"/>
    </w:rPr>
  </w:style>
  <w:style w:type="character" w:styleId="WW8Num8z1" w:customStyle="1">
    <w:name w:val="WW8Num8z1"/>
    <w:qFormat/>
    <w:rPr>
      <w:rFonts w:ascii="OpenSymbol" w:hAnsi="OpenSymbol" w:cs="OpenSymbol"/>
    </w:rPr>
  </w:style>
  <w:style w:type="character" w:styleId="WW8Num9z0" w:customStyle="1">
    <w:name w:val="WW8Num9z0"/>
    <w:qFormat/>
    <w:rPr/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Symbol" w:hAnsi="Symbol" w:cs="OpenSymbol"/>
    </w:rPr>
  </w:style>
  <w:style w:type="character" w:styleId="WW8Num10z1" w:customStyle="1">
    <w:name w:val="WW8Num10z1"/>
    <w:qFormat/>
    <w:rPr>
      <w:rFonts w:ascii="OpenSymbol" w:hAnsi="OpenSymbol" w:cs="OpenSymbol"/>
    </w:rPr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>
      <w:rFonts w:ascii="Symbol" w:hAnsi="Symbol" w:cs="OpenSymbol"/>
    </w:rPr>
  </w:style>
  <w:style w:type="character" w:styleId="WW8Num12z1" w:customStyle="1">
    <w:name w:val="WW8Num12z1"/>
    <w:qFormat/>
    <w:rPr>
      <w:rFonts w:ascii="OpenSymbol" w:hAnsi="OpenSymbol" w:cs="OpenSymbol"/>
    </w:rPr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Absatz-Standardschriftart" w:customStyle="1">
    <w:name w:val="Absatz-Standardschriftart"/>
    <w:qFormat/>
    <w:rPr/>
  </w:style>
  <w:style w:type="character" w:styleId="WW-Absatz-Standardschriftart" w:customStyle="1">
    <w:name w:val="WW-Absatz-Standardschriftart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WW-Absatz-Standardschriftart1111" w:customStyle="1">
    <w:name w:val="WW-Absatz-Standardschriftart1111"/>
    <w:qFormat/>
    <w:rPr/>
  </w:style>
  <w:style w:type="character" w:styleId="WW-Absatz-Standardschriftart11111" w:customStyle="1">
    <w:name w:val="WW-Absatz-Standardschriftart11111"/>
    <w:qFormat/>
    <w:rPr/>
  </w:style>
  <w:style w:type="character" w:styleId="WW-Absatz-Standardschriftart111111" w:customStyle="1">
    <w:name w:val="WW-Absatz-Standardschriftart111111"/>
    <w:qFormat/>
    <w:rPr/>
  </w:style>
  <w:style w:type="character" w:styleId="WW-Absatz-Standardschriftart1111111" w:customStyle="1">
    <w:name w:val="WW-Absatz-Standardschriftart1111111"/>
    <w:qFormat/>
    <w:rPr/>
  </w:style>
  <w:style w:type="character" w:styleId="WW-Absatz-Standardschriftart11111111" w:customStyle="1">
    <w:name w:val="WW-Absatz-Standardschriftart11111111"/>
    <w:qFormat/>
    <w:rPr/>
  </w:style>
  <w:style w:type="character" w:styleId="WW-Absatz-Standardschriftart111111111" w:customStyle="1">
    <w:name w:val="WW-Absatz-Standardschriftart111111111"/>
    <w:qFormat/>
    <w:rPr/>
  </w:style>
  <w:style w:type="character" w:styleId="WW-Absatz-Standardschriftart1111111111" w:customStyle="1">
    <w:name w:val="WW-Absatz-Standardschriftart1111111111"/>
    <w:qFormat/>
    <w:rPr/>
  </w:style>
  <w:style w:type="character" w:styleId="WW-Absatz-Standardschriftart11111111111" w:customStyle="1">
    <w:name w:val="WW-Absatz-Standardschriftart11111111111"/>
    <w:qFormat/>
    <w:rPr/>
  </w:style>
  <w:style w:type="character" w:styleId="WW-Absatz-Standardschriftart111111111111" w:customStyle="1">
    <w:name w:val="WW-Absatz-Standardschriftart111111111111"/>
    <w:qFormat/>
    <w:rPr/>
  </w:style>
  <w:style w:type="character" w:styleId="WW-Absatz-Standardschriftart1111111111111" w:customStyle="1">
    <w:name w:val="WW-Absatz-Standardschriftart1111111111111"/>
    <w:qFormat/>
    <w:rPr/>
  </w:style>
  <w:style w:type="character" w:styleId="WW-Absatz-Standardschriftart11111111111111" w:customStyle="1">
    <w:name w:val="WW-Absatz-Standardschriftart11111111111111"/>
    <w:qFormat/>
    <w:rPr/>
  </w:style>
  <w:style w:type="character" w:styleId="WW-Absatz-Standardschriftart111111111111111" w:customStyle="1">
    <w:name w:val="WW-Absatz-Standardschriftart111111111111111"/>
    <w:qFormat/>
    <w:rPr/>
  </w:style>
  <w:style w:type="character" w:styleId="WW-Absatz-Standardschriftart1111111111111111" w:customStyle="1">
    <w:name w:val="WW-Absatz-Standardschriftart1111111111111111"/>
    <w:qFormat/>
    <w:rPr/>
  </w:style>
  <w:style w:type="character" w:styleId="WW-Absatz-Standardschriftart11111111111111111" w:customStyle="1">
    <w:name w:val="WW-Absatz-Standardschriftart11111111111111111"/>
    <w:qFormat/>
    <w:rPr/>
  </w:style>
  <w:style w:type="character" w:styleId="TextodebaloChar" w:customStyle="1">
    <w:name w:val="Texto de balão Char"/>
    <w:basedOn w:val="DefaultParagraphFont"/>
    <w:qFormat/>
    <w:rPr>
      <w:rFonts w:ascii="Tahoma" w:hAnsi="Tahoma" w:cs="Tahoma"/>
      <w:sz w:val="16"/>
      <w:szCs w:val="16"/>
    </w:rPr>
  </w:style>
  <w:style w:type="character" w:styleId="CabealhoChar" w:customStyle="1">
    <w:name w:val="Cabeçalho Char"/>
    <w:basedOn w:val="DefaultParagraphFont"/>
    <w:qFormat/>
    <w:rPr>
      <w:sz w:val="22"/>
      <w:szCs w:val="22"/>
    </w:rPr>
  </w:style>
  <w:style w:type="character" w:styleId="RodapChar" w:customStyle="1">
    <w:name w:val="Rodapé Char"/>
    <w:basedOn w:val="DefaultParagraphFont"/>
    <w:qFormat/>
    <w:rPr>
      <w:sz w:val="22"/>
      <w:szCs w:val="22"/>
    </w:rPr>
  </w:style>
  <w:style w:type="character" w:styleId="InternetLink">
    <w:name w:val="Internet Link"/>
    <w:basedOn w:val="DefaultParagraphFont"/>
    <w:qFormat/>
    <w:rPr>
      <w:color w:val="0563C1"/>
      <w:u w:val="single"/>
    </w:rPr>
  </w:style>
  <w:style w:type="character" w:styleId="apple-converted-space" w:customStyle="1">
    <w:name w:val="apple-converted-space"/>
    <w:basedOn w:val="DefaultParagraphFont"/>
    <w:qFormat/>
    <w:rPr/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character" w:styleId="Smbolosdenumerao" w:customStyle="1">
    <w:name w:val="Símbolos de numeração"/>
    <w:qFormat/>
    <w:rPr/>
  </w:style>
  <w:style w:type="character" w:styleId="FollowedHyperlink">
    <w:name w:val="FollowedHyperlink"/>
    <w:rPr>
      <w:color w:val="800000"/>
      <w:u w:val="single"/>
    </w:rPr>
  </w:style>
  <w:style w:type="character" w:styleId="TextodecomentrioChar" w:customStyle="1">
    <w:name w:val="Texto de comentário Char"/>
    <w:basedOn w:val="DefaultParagraphFont"/>
    <w:qFormat/>
    <w:rPr>
      <w:rFonts w:ascii="Calibri" w:hAnsi="Calibri" w:eastAsia="Times New Roman" w:cs="Calibri"/>
      <w:sz w:val="20"/>
      <w:szCs w:val="20"/>
      <w:lang w:bidi="ar-SA"/>
    </w:rPr>
  </w:style>
  <w:style w:type="character" w:styleId="annotationreference" w:customStyle="1">
    <w:name w:val="annotation reference"/>
    <w:basedOn w:val="DefaultParagraphFont"/>
    <w:qFormat/>
    <w:rPr>
      <w:sz w:val="16"/>
      <w:szCs w:val="16"/>
    </w:rPr>
  </w:style>
  <w:style w:type="character" w:styleId="AssuntodocomentrioChar" w:customStyle="1">
    <w:name w:val="Assunto do comentário Char"/>
    <w:basedOn w:val="TextodecomentrioChar"/>
    <w:qFormat/>
    <w:rPr>
      <w:rFonts w:ascii="Calibri" w:hAnsi="Calibri" w:eastAsia="Times New Roman" w:cs="Calibri"/>
      <w:b/>
      <w:bCs/>
      <w:sz w:val="20"/>
      <w:szCs w:val="20"/>
      <w:lang w:bidi="ar-SA"/>
    </w:rPr>
  </w:style>
  <w:style w:type="character" w:styleId="InternetLink1">
    <w:name w:val="Internet Link1"/>
    <w:qFormat/>
    <w:rPr>
      <w:color w:val="000080"/>
      <w:u w:val="single"/>
    </w:rPr>
  </w:style>
  <w:style w:type="paragraph" w:styleId="Ttulo" w:customStyle="1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Tahoma"/>
    </w:rPr>
  </w:style>
  <w:style w:type="paragraph" w:styleId="Caption" w:customStyle="1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itle">
    <w:name w:val="Title"/>
    <w:basedOn w:val="Normal"/>
    <w:next w:val="BodyText"/>
    <w:qFormat/>
    <w:pPr>
      <w:jc w:val="center"/>
    </w:pPr>
    <w:rPr>
      <w:b/>
      <w:bCs/>
      <w:sz w:val="56"/>
      <w:szCs w:val="56"/>
    </w:rPr>
  </w:style>
  <w:style w:type="paragraph" w:styleId="NormalWeb">
    <w:name w:val="Normal (Web)"/>
    <w:basedOn w:val="Normal"/>
    <w:qFormat/>
    <w:pPr>
      <w:spacing w:lineRule="auto" w:line="240" w:before="280" w:after="119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Arial" w:cs="Calibri"/>
      <w:color w:val="auto"/>
      <w:kern w:val="2"/>
      <w:sz w:val="22"/>
      <w:szCs w:val="22"/>
      <w:lang w:val="pt-BR" w:eastAsia="zh-CN" w:bidi="ar-SA"/>
    </w:rPr>
  </w:style>
  <w:style w:type="paragraph" w:styleId="CabealhoeRodap" w:customStyle="1">
    <w:name w:val="Cabeçalho e Rodapé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western" w:customStyle="1">
    <w:name w:val="western"/>
    <w:basedOn w:val="Normal"/>
    <w:qFormat/>
    <w:pPr>
      <w:spacing w:lineRule="auto" w:line="240" w:before="280" w:after="119"/>
    </w:pPr>
    <w:rPr>
      <w:rFonts w:ascii="Times New Roman" w:hAnsi="Times New Roman" w:cs="Times New Roman"/>
      <w:sz w:val="24"/>
      <w:szCs w:val="24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itaes" w:customStyle="1">
    <w:name w:val="Citações"/>
    <w:basedOn w:val="Normal"/>
    <w:qFormat/>
    <w:pPr>
      <w:spacing w:before="0" w:after="283"/>
      <w:ind w:hanging="0" w:left="567" w:right="567"/>
    </w:pPr>
    <w:rPr/>
  </w:style>
  <w:style w:type="paragraph" w:styleId="Subtitle">
    <w:name w:val="Subtitle"/>
    <w:basedOn w:val="Normal"/>
    <w:next w:val="BodyText"/>
    <w:qFormat/>
    <w:pPr>
      <w:spacing w:before="60" w:after="120"/>
      <w:jc w:val="center"/>
    </w:pPr>
    <w:rPr>
      <w:sz w:val="36"/>
      <w:szCs w:val="36"/>
    </w:rPr>
  </w:style>
  <w:style w:type="paragraph" w:styleId="AnnotationText" w:customStyle="1">
    <w:name w:val="Annotation Text"/>
    <w:basedOn w:val="Normal"/>
    <w:qFormat/>
    <w:pPr>
      <w:spacing w:lineRule="auto" w:line="240"/>
    </w:pPr>
    <w:rPr>
      <w:sz w:val="20"/>
      <w:szCs w:val="20"/>
    </w:rPr>
  </w:style>
  <w:style w:type="paragraph" w:styleId="annotationsubject" w:customStyle="1">
    <w:name w:val="annotation subject"/>
    <w:basedOn w:val="AnnotationText"/>
    <w:next w:val="AnnotationText"/>
    <w:qFormat/>
    <w:pPr/>
    <w:rPr>
      <w:b/>
      <w:bCs/>
    </w:rPr>
  </w:style>
  <w:style w:type="paragraph" w:styleId="ListParagraph">
    <w:name w:val="List Paragraph"/>
    <w:basedOn w:val="Normal"/>
    <w:qFormat/>
    <w:pPr>
      <w:spacing w:lineRule="auto" w:line="252" w:before="0" w:after="160"/>
      <w:ind w:hanging="0" w:left="720"/>
      <w:contextualSpacing/>
    </w:pPr>
    <w:rPr>
      <w:rFonts w:eastAsia="Calibri"/>
      <w:lang w:eastAsia="pt-BR"/>
    </w:rPr>
  </w:style>
  <w:style w:type="paragraph" w:styleId="Nivel3">
    <w:name w:val="Nivel 3"/>
    <w:basedOn w:val="Normal"/>
    <w:qFormat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cs="Arial"/>
      <w:color w:val="000000"/>
      <w:sz w:val="20"/>
      <w:szCs w:val="20"/>
    </w:rPr>
  </w:style>
  <w:style w:type="paragraph" w:styleId="Nivel4">
    <w:name w:val="Nivel 4"/>
    <w:basedOn w:val="Nivel3"/>
    <w:qFormat/>
    <w:pPr>
      <w:ind w:hanging="0" w:left="567"/>
    </w:pPr>
    <w:rPr>
      <w:color w:val="auto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8625</TotalTime>
  <Application>LibreOffice/24.2.6.2$Windows_X86_64 LibreOffice_project/ef66aa7e36a1bb8e65bfbc63aba53045a14d0871</Application>
  <AppVersion>15.0000</AppVersion>
  <DocSecurity>4</DocSecurity>
  <Pages>24</Pages>
  <Words>2233</Words>
  <Characters>12257</Characters>
  <CharactersWithSpaces>13896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2024-01-25T14:54:00Z</dcterms:created>
  <dc:creator>visitante</dc:creator>
  <dc:description/>
  <dc:language>pt-BR</dc:language>
  <cp:lastModifiedBy/>
  <cp:lastPrinted>2015-09-23T07:32:00Z</cp:lastPrinted>
  <dcterms:modified xsi:type="dcterms:W3CDTF">2024-11-13T16:19:33Z</dcterms:modified>
  <cp:revision>231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